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A12095《委托拍卖（变卖）财产清单》</w:t>
      </w:r>
    </w:p>
    <w:p>
      <w:pPr>
        <w:pStyle w:val="9"/>
        <w:spacing w:line="408" w:lineRule="auto"/>
        <w:jc w:val="center"/>
        <w:rPr>
          <w:color w:val="000000"/>
          <w:sz w:val="21"/>
          <w:szCs w:val="2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pacing w:val="20"/>
          <w:sz w:val="28"/>
          <w:szCs w:val="28"/>
        </w:rPr>
        <w:t>委托拍卖（变卖）财产清单</w:t>
      </w:r>
    </w:p>
    <w:tbl>
      <w:tblPr>
        <w:tblStyle w:val="2"/>
        <w:tblW w:w="83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6"/>
        <w:gridCol w:w="805"/>
        <w:gridCol w:w="804"/>
        <w:gridCol w:w="804"/>
        <w:gridCol w:w="965"/>
        <w:gridCol w:w="24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7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财产名称</w:t>
            </w:r>
          </w:p>
        </w:tc>
        <w:tc>
          <w:tcPr>
            <w:tcW w:w="8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单位</w:t>
            </w:r>
          </w:p>
        </w:tc>
        <w:tc>
          <w:tcPr>
            <w:tcW w:w="80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数量</w:t>
            </w:r>
          </w:p>
        </w:tc>
        <w:tc>
          <w:tcPr>
            <w:tcW w:w="80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底价</w:t>
            </w:r>
          </w:p>
        </w:tc>
        <w:tc>
          <w:tcPr>
            <w:tcW w:w="9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底价</w:t>
            </w:r>
          </w:p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金额</w:t>
            </w:r>
          </w:p>
        </w:tc>
        <w:tc>
          <w:tcPr>
            <w:tcW w:w="24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5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7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合    计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7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人民币（大写）</w:t>
            </w:r>
          </w:p>
        </w:tc>
        <w:tc>
          <w:tcPr>
            <w:tcW w:w="5786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2"/>
              </w:rPr>
              <w:t> </w:t>
            </w:r>
          </w:p>
        </w:tc>
      </w:tr>
    </w:tbl>
    <w:p>
      <w:pPr>
        <w:pStyle w:val="9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 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税务机关（章）：            拍卖（变卖）、收购单位：（章）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税务机关经手人:           拍卖（变卖）、收购单位经手人：</w:t>
      </w:r>
    </w:p>
    <w:p>
      <w:pPr>
        <w:pStyle w:val="8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                               年    月    日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1.本文书依据《抵税财物拍卖、变卖试行办法》第十七条设置。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2.适用范围：税务机关委托拍卖变卖机构拍卖变卖抵税财物时使用。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3.本清单为《税收强制执行决定书》（拍卖/变卖适用）》附件。</w:t>
      </w:r>
    </w:p>
    <w:p>
      <w:pPr>
        <w:pStyle w:val="10"/>
        <w:spacing w:line="240" w:lineRule="auto"/>
        <w:ind w:firstLine="420" w:firstLineChars="200"/>
        <w:rPr>
          <w:rFonts w:hint="eastAsia"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4.税务机关查封商品、货物或者其他财产的价值，参照同类商品的市场价、出厂价或者评估价估算。</w:t>
      </w:r>
    </w:p>
    <w:p>
      <w:pPr>
        <w:pStyle w:val="10"/>
        <w:spacing w:line="240" w:lineRule="auto"/>
        <w:ind w:firstLine="420" w:firstLineChars="200"/>
        <w:rPr>
          <w:rFonts w:eastAsia="宋体" w:cs="Times New Roman"/>
          <w:color w:val="000000"/>
          <w:kern w:val="2"/>
          <w:sz w:val="21"/>
        </w:rPr>
      </w:pPr>
      <w:r>
        <w:rPr>
          <w:rFonts w:hint="eastAsia" w:eastAsia="宋体" w:cs="Times New Roman"/>
          <w:color w:val="000000"/>
          <w:kern w:val="2"/>
          <w:sz w:val="21"/>
        </w:rPr>
        <w:t>5.税务机关按上述方法确定应查封的商品、货物或其他财产的价值时，还应当包括滞纳金和查封、保管、拍卖、变卖过程中所发生的费用。</w:t>
      </w:r>
    </w:p>
    <w:p>
      <w:pPr>
        <w:pStyle w:val="10"/>
        <w:spacing w:line="240" w:lineRule="auto"/>
        <w:ind w:firstLine="420" w:firstLineChars="200"/>
        <w:rPr>
          <w:rFonts w:eastAsia="宋体" w:cs="Times New Roman"/>
          <w:color w:val="000000"/>
          <w:kern w:val="2"/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 w:cs="Times New Roman"/>
          <w:color w:val="000000"/>
          <w:kern w:val="2"/>
          <w:sz w:val="21"/>
        </w:rPr>
        <w:t>6.本清单为A4竖式，一式二份，一份送拍卖单位，一份装入卷宗。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94DEB"/>
    <w:rsid w:val="035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paragraph" w:customStyle="1" w:styleId="10">
    <w:name w:val="bw1"/>
    <w:basedOn w:val="9"/>
    <w:uiPriority w:val="0"/>
    <w:pPr>
      <w:spacing w:line="360" w:lineRule="atLeas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2019-11-06T03:16:00Z</dcterms:created>
  <dc:creator>陈莉佳</dc:creator>
  <cp:lastModifiedBy>陈莉佳</cp:lastModifiedBy>
  <dcterms:modified xsi:type="dcterms:W3CDTF">2019-11-06T03:16:42Z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